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647965</wp:posOffset>
            </wp:positionH>
            <wp:positionV relativeFrom="paragraph">
              <wp:posOffset>-426363</wp:posOffset>
            </wp:positionV>
            <wp:extent cx="497507" cy="71767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07" cy="717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0C4"/>
        </w:rPr>
        <w:t>Research</w:t>
      </w:r>
      <w:r>
        <w:rPr>
          <w:color w:val="4470C4"/>
          <w:spacing w:val="-3"/>
        </w:rPr>
        <w:t> </w:t>
      </w:r>
      <w:r>
        <w:rPr>
          <w:color w:val="4470C4"/>
        </w:rPr>
        <w:t>Integrity:</w:t>
      </w:r>
      <w:r>
        <w:rPr>
          <w:color w:val="4470C4"/>
          <w:spacing w:val="-6"/>
        </w:rPr>
        <w:t> </w:t>
      </w:r>
      <w:r>
        <w:rPr>
          <w:color w:val="4470C4"/>
        </w:rPr>
        <w:t>Self-declaration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before="93"/>
        <w:ind w:left="52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appointments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academic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researcher</w:t>
      </w:r>
      <w:r>
        <w:rPr>
          <w:spacing w:val="-2"/>
          <w:sz w:val="24"/>
        </w:rPr>
        <w:t> </w:t>
      </w:r>
      <w:r>
        <w:rPr>
          <w:sz w:val="24"/>
        </w:rPr>
        <w:t>positions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Background</w:t>
      </w:r>
    </w:p>
    <w:p>
      <w:pPr>
        <w:pStyle w:val="BodyText"/>
        <w:spacing w:line="360" w:lineRule="auto" w:before="129"/>
        <w:ind w:left="520" w:right="95"/>
      </w:pPr>
      <w:r>
        <w:rPr/>
        <w:t>University College Dublin is committed to ensuring the highest standards of integrity in all</w:t>
      </w:r>
      <w:r>
        <w:rPr>
          <w:spacing w:val="1"/>
        </w:rPr>
        <w:t> </w:t>
      </w:r>
      <w:r>
        <w:rPr/>
        <w:t>aspects of our research in line with the National Policy Statement on Ensuring Research</w:t>
      </w:r>
      <w:r>
        <w:rPr>
          <w:spacing w:val="1"/>
        </w:rPr>
        <w:t> </w:t>
      </w:r>
      <w:r>
        <w:rPr/>
        <w:t>Integrity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Ireland</w:t>
      </w:r>
      <w:r>
        <w:rPr>
          <w:spacing w:val="2"/>
        </w:rPr>
        <w:t> </w:t>
      </w:r>
      <w:r>
        <w:rPr/>
        <w:t>and the</w:t>
      </w:r>
      <w:r>
        <w:rPr>
          <w:spacing w:val="2"/>
        </w:rPr>
        <w:t> </w:t>
      </w:r>
      <w:r>
        <w:rPr/>
        <w:t>European</w:t>
      </w:r>
      <w:r>
        <w:rPr>
          <w:spacing w:val="2"/>
        </w:rPr>
        <w:t> </w:t>
      </w:r>
      <w:r>
        <w:rPr/>
        <w:t>Code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Conduct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Integrity.</w:t>
      </w:r>
      <w:r>
        <w:rPr>
          <w:spacing w:val="4"/>
        </w:rPr>
        <w:t> </w:t>
      </w:r>
      <w:r>
        <w:rPr/>
        <w:t>As</w:t>
      </w:r>
      <w:r>
        <w:rPr>
          <w:spacing w:val="2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commitment to these standards of research integrity, we require all research staff appointees</w:t>
      </w:r>
      <w:r>
        <w:rPr>
          <w:spacing w:val="-59"/>
        </w:rPr>
        <w:t> </w:t>
      </w:r>
      <w:r>
        <w:rPr/>
        <w:t>to</w:t>
      </w:r>
      <w:r>
        <w:rPr>
          <w:spacing w:val="-3"/>
        </w:rPr>
        <w:t> </w:t>
      </w:r>
      <w:r>
        <w:rPr/>
        <w:t>answer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statement.</w:t>
      </w:r>
    </w:p>
    <w:p>
      <w:pPr>
        <w:pStyle w:val="BodyText"/>
      </w:pPr>
    </w:p>
    <w:p>
      <w:pPr>
        <w:pStyle w:val="Heading1"/>
      </w:pPr>
      <w:r>
        <w:rPr/>
        <w:t>Statement</w:t>
      </w:r>
    </w:p>
    <w:p>
      <w:pPr>
        <w:spacing w:line="360" w:lineRule="auto" w:before="126"/>
        <w:ind w:left="520" w:right="657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“At no time has an allegation of research misconduct been upheld against me, nor am I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aware of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any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current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allegation,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investigation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or enquiry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this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regard.”</w:t>
      </w:r>
    </w:p>
    <w:p>
      <w:pPr>
        <w:pStyle w:val="BodyText"/>
        <w:spacing w:before="11"/>
        <w:rPr>
          <w:rFonts w:ascii="Arial"/>
          <w:i/>
          <w:sz w:val="32"/>
        </w:rPr>
      </w:pPr>
    </w:p>
    <w:p>
      <w:pPr>
        <w:pStyle w:val="Heading1"/>
        <w:tabs>
          <w:tab w:pos="3283" w:val="left" w:leader="none"/>
          <w:tab w:pos="4903" w:val="left" w:leader="none"/>
          <w:tab w:pos="6385" w:val="left" w:leader="none"/>
        </w:tabs>
        <w:ind w:left="1960"/>
      </w:pPr>
      <w:r>
        <w:rPr/>
        <w:t>Correct</w:t>
      </w:r>
      <w:r>
        <w:rPr>
          <w:u w:val="thick"/>
        </w:rPr>
        <w:tab/>
      </w:r>
      <w:r>
        <w:rPr/>
        <w:tab/>
        <w:t>Incorrect</w:t>
      </w:r>
      <w:r>
        <w:rPr>
          <w:spacing w:val="-1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tabs>
          <w:tab w:pos="2680" w:val="left" w:leader="none"/>
          <w:tab w:pos="6709" w:val="left" w:leader="none"/>
        </w:tabs>
        <w:spacing w:before="94"/>
        <w:ind w:left="5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NAME:</w:t>
        <w:tab/>
      </w:r>
      <w:r>
        <w:rPr>
          <w:rFonts w:ascii="Arial"/>
          <w:b/>
          <w:w w:val="100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Heading1"/>
        <w:tabs>
          <w:tab w:pos="2680" w:val="left" w:leader="none"/>
          <w:tab w:pos="6709" w:val="left" w:leader="none"/>
        </w:tabs>
        <w:spacing w:before="94"/>
      </w:pPr>
      <w:r>
        <w:rPr/>
        <w:t>SIGNATURE: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93"/>
        <w:ind w:left="5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Actions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if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Incorrect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Selected</w:t>
      </w:r>
    </w:p>
    <w:p>
      <w:pPr>
        <w:pStyle w:val="BodyText"/>
        <w:spacing w:line="360" w:lineRule="auto" w:before="127"/>
        <w:ind w:left="520" w:right="94"/>
      </w:pPr>
      <w:r>
        <w:rPr/>
        <w:t>If you have answered "Incorrect", please provide details in writing of the allegation /</w:t>
      </w:r>
      <w:r>
        <w:rPr>
          <w:spacing w:val="1"/>
        </w:rPr>
        <w:t> </w:t>
      </w:r>
      <w:r>
        <w:rPr/>
        <w:t>investigation / enquiry, and the outcome. Such information will be provided to the Designated</w:t>
      </w:r>
      <w:r>
        <w:rPr>
          <w:spacing w:val="-59"/>
        </w:rPr>
        <w:t> </w:t>
      </w:r>
      <w:r>
        <w:rPr/>
        <w:t>Officer*</w:t>
      </w:r>
      <w:r>
        <w:rPr>
          <w:spacing w:val="-4"/>
        </w:rPr>
        <w:t> </w:t>
      </w:r>
      <w:r>
        <w:rPr/>
        <w:t>(DO)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before="1"/>
        <w:ind w:left="520"/>
      </w:pPr>
      <w:r>
        <w:rPr/>
        <w:t>The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other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outcome</w:t>
      </w:r>
      <w:r>
        <w:rPr>
          <w:spacing w:val="-4"/>
        </w:rPr>
        <w:t> </w:t>
      </w:r>
      <w:r>
        <w:rPr/>
        <w:t>of investigations.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2" w:lineRule="auto"/>
        <w:ind w:left="520" w:right="181"/>
      </w:pPr>
      <w:r>
        <w:rPr/>
        <w:t>The DO will make a recommendation to the Director of HR and President who will have final</w:t>
      </w:r>
      <w:r>
        <w:rPr>
          <w:spacing w:val="-59"/>
        </w:rPr>
        <w:t> </w:t>
      </w:r>
      <w:r>
        <w:rPr/>
        <w:t>responsibility for the</w:t>
      </w:r>
      <w:r>
        <w:rPr>
          <w:spacing w:val="-2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in relation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appointment.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520"/>
      </w:pPr>
      <w:r>
        <w:rPr/>
        <w:t>In the event that a candidate refuses to complete this Self-declaration, the matter will be</w:t>
      </w:r>
      <w:r>
        <w:rPr>
          <w:spacing w:val="1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DO who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recommendation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HR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President.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5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*The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Designated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Officer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shall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senior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Officer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university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appointed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President.</w:t>
      </w:r>
    </w:p>
    <w:sectPr>
      <w:type w:val="continuous"/>
      <w:pgSz w:w="11920" w:h="16850"/>
      <w:pgMar w:top="660" w:bottom="280" w:left="9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329" w:right="191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nclancy</dc:creator>
  <dcterms:created xsi:type="dcterms:W3CDTF">2022-04-11T10:10:17Z</dcterms:created>
  <dcterms:modified xsi:type="dcterms:W3CDTF">2022-04-11T10:10:17Z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2022-04-11T00:00:00Z</vt:filetime>
  </property>
</Properties>
</file>